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B9F10" w14:textId="68B42B7E" w:rsidR="00E32129" w:rsidRDefault="00E32129" w:rsidP="00E32129">
      <w:pPr>
        <w:spacing w:after="0"/>
        <w:rPr>
          <w:rFonts w:asciiTheme="minorEastAsia" w:hAnsiTheme="minorEastAsia" w:hint="eastAsia"/>
          <w:b/>
          <w:bCs/>
          <w:sz w:val="28"/>
          <w:szCs w:val="28"/>
        </w:rPr>
      </w:pPr>
      <w:r>
        <w:rPr>
          <w:rFonts w:asciiTheme="minorEastAsia" w:hAnsiTheme="minorEastAsia" w:hint="eastAsia"/>
          <w:b/>
          <w:bCs/>
          <w:sz w:val="28"/>
          <w:szCs w:val="28"/>
        </w:rPr>
        <w:t xml:space="preserve">Ephesians Discover Your Inheritance - Session </w:t>
      </w:r>
      <w:r>
        <w:rPr>
          <w:rFonts w:asciiTheme="minorEastAsia" w:hAnsiTheme="minorEastAsia" w:hint="eastAsia"/>
          <w:b/>
          <w:bCs/>
          <w:sz w:val="28"/>
          <w:szCs w:val="28"/>
        </w:rPr>
        <w:t>Six</w:t>
      </w:r>
    </w:p>
    <w:p w14:paraId="6A220DBD" w14:textId="5B956704" w:rsidR="00E32129" w:rsidRDefault="00E32129" w:rsidP="00E32129">
      <w:pPr>
        <w:spacing w:after="0"/>
        <w:rPr>
          <w:rFonts w:asciiTheme="minorEastAsia" w:hAnsiTheme="minorEastAsia"/>
          <w:b/>
          <w:bCs/>
          <w:sz w:val="28"/>
          <w:szCs w:val="28"/>
        </w:rPr>
      </w:pPr>
      <w:r>
        <w:rPr>
          <w:rFonts w:asciiTheme="minorEastAsia" w:hAnsiTheme="minorEastAsia" w:hint="eastAsia"/>
          <w:b/>
          <w:bCs/>
          <w:sz w:val="28"/>
          <w:szCs w:val="28"/>
        </w:rPr>
        <w:t>探索你的承襲 - 第</w:t>
      </w:r>
      <w:r>
        <w:rPr>
          <w:rFonts w:asciiTheme="minorEastAsia" w:hAnsiTheme="minorEastAsia" w:hint="eastAsia"/>
          <w:b/>
          <w:bCs/>
          <w:sz w:val="28"/>
          <w:szCs w:val="28"/>
        </w:rPr>
        <w:t>六</w:t>
      </w:r>
      <w:r>
        <w:rPr>
          <w:rFonts w:asciiTheme="minorEastAsia" w:hAnsiTheme="minorEastAsia" w:hint="eastAsia"/>
          <w:b/>
          <w:bCs/>
          <w:sz w:val="28"/>
          <w:szCs w:val="28"/>
        </w:rPr>
        <w:t>課</w:t>
      </w:r>
    </w:p>
    <w:p w14:paraId="01AF2D79" w14:textId="4C169E61" w:rsidR="00E32129" w:rsidRDefault="00E32129" w:rsidP="00E32129">
      <w:pPr>
        <w:spacing w:after="0"/>
        <w:rPr>
          <w:rFonts w:asciiTheme="minorEastAsia" w:hAnsiTheme="minorEastAsia" w:hint="eastAsia"/>
          <w:b/>
          <w:bCs/>
          <w:sz w:val="28"/>
          <w:szCs w:val="28"/>
        </w:rPr>
      </w:pPr>
      <w:r w:rsidRPr="00E32129">
        <w:rPr>
          <w:rFonts w:asciiTheme="minorEastAsia" w:hAnsiTheme="minorEastAsia"/>
          <w:b/>
          <w:bCs/>
          <w:sz w:val="28"/>
          <w:szCs w:val="28"/>
        </w:rPr>
        <w:t>Be Imitators of God</w:t>
      </w:r>
    </w:p>
    <w:p w14:paraId="00000002" w14:textId="77777777" w:rsidR="00683CB5" w:rsidRDefault="00000000" w:rsidP="00E32129">
      <w:pPr>
        <w:spacing w:after="0"/>
        <w:ind w:left="567" w:hanging="567"/>
        <w:rPr>
          <w:rFonts w:asciiTheme="minorEastAsia" w:hAnsiTheme="minorEastAsia"/>
          <w:b/>
        </w:rPr>
      </w:pPr>
      <w:r w:rsidRPr="007706F2">
        <w:rPr>
          <w:rFonts w:asciiTheme="minorEastAsia" w:hAnsiTheme="minorEastAsia"/>
          <w:b/>
        </w:rPr>
        <w:t>效法天主</w:t>
      </w:r>
    </w:p>
    <w:p w14:paraId="5A8C6E5D" w14:textId="77777777" w:rsidR="00E32129" w:rsidRPr="007706F2" w:rsidRDefault="00E32129" w:rsidP="00E32129">
      <w:pPr>
        <w:spacing w:after="0"/>
        <w:ind w:left="567" w:hanging="567"/>
        <w:rPr>
          <w:rFonts w:asciiTheme="minorEastAsia" w:hAnsiTheme="minorEastAsia" w:hint="eastAsia"/>
          <w:b/>
        </w:rPr>
      </w:pPr>
    </w:p>
    <w:p w14:paraId="00000003" w14:textId="77777777" w:rsidR="00683CB5" w:rsidRPr="007706F2" w:rsidRDefault="00000000" w:rsidP="00EC47AC">
      <w:pPr>
        <w:spacing w:after="0"/>
        <w:rPr>
          <w:rFonts w:asciiTheme="minorEastAsia" w:hAnsiTheme="minorEastAsia"/>
        </w:rPr>
      </w:pPr>
      <w:r w:rsidRPr="007706F2">
        <w:rPr>
          <w:rFonts w:asciiTheme="minorEastAsia" w:hAnsiTheme="minorEastAsia"/>
        </w:rPr>
        <w:t>在《厄弗所書》中，聖保祿多次強調教會在天主救贖計劃中的核心角色。在這部分，他繼續探討教會內部關係的挑戰，勸勉我們要「效法天主」（《厄弗所書》5:1）。接下來，他把重點轉向教會與世界的關係，呼籲我們要成為黑暗中的光明之子。這些經文是一次屬靈的警醒，提醒我們要「學會主所喜悅的事」，並以基督的淨化之光照亮我們過去和現在的行為（見《厄弗所書》5:3-14）。最後，在《厄弗所書》5:15-21中，聖保祿總結了我們在世界上應該如何生活：充滿聖神、行在智慧中，並時常感謝天主。</w:t>
      </w:r>
    </w:p>
    <w:p w14:paraId="00000004" w14:textId="77777777" w:rsidR="00683CB5" w:rsidRPr="007706F2" w:rsidRDefault="00000000" w:rsidP="00EC47AC">
      <w:pPr>
        <w:spacing w:after="0"/>
        <w:rPr>
          <w:rFonts w:asciiTheme="minorEastAsia" w:hAnsiTheme="minorEastAsia"/>
        </w:rPr>
      </w:pPr>
      <w:r w:rsidRPr="007706F2">
        <w:rPr>
          <w:rFonts w:asciiTheme="minorEastAsia" w:hAnsiTheme="minorEastAsia"/>
        </w:rPr>
        <w:t>當你閱讀這些經文時，將它們作為一把火炬，來檢視你在信徒團體中和與世界的關係中，如何實踐耶穌基督的福音。</w:t>
      </w:r>
    </w:p>
    <w:p w14:paraId="00000005" w14:textId="77777777" w:rsidR="00683CB5" w:rsidRPr="007706F2" w:rsidRDefault="00000000" w:rsidP="00EC47AC">
      <w:pPr>
        <w:pBdr>
          <w:top w:val="single" w:sz="4" w:space="1" w:color="000000"/>
          <w:left w:val="single" w:sz="4" w:space="4" w:color="000000"/>
          <w:bottom w:val="single" w:sz="4" w:space="1" w:color="000000"/>
          <w:right w:val="single" w:sz="4" w:space="4" w:color="000000"/>
        </w:pBdr>
        <w:spacing w:after="0"/>
        <w:rPr>
          <w:rFonts w:asciiTheme="minorEastAsia" w:hAnsiTheme="minorEastAsia"/>
          <w:b/>
        </w:rPr>
      </w:pPr>
      <w:r w:rsidRPr="007706F2">
        <w:rPr>
          <w:rFonts w:asciiTheme="minorEastAsia" w:hAnsiTheme="minorEastAsia"/>
          <w:b/>
        </w:rPr>
        <w:t>教會</w:t>
      </w:r>
    </w:p>
    <w:p w14:paraId="00000006" w14:textId="77777777" w:rsidR="00683CB5" w:rsidRPr="007706F2" w:rsidRDefault="00000000" w:rsidP="00EC47AC">
      <w:pPr>
        <w:pBdr>
          <w:top w:val="single" w:sz="4" w:space="1" w:color="000000"/>
          <w:left w:val="single" w:sz="4" w:space="4" w:color="000000"/>
          <w:bottom w:val="single" w:sz="4" w:space="1" w:color="000000"/>
          <w:right w:val="single" w:sz="4" w:space="4" w:color="000000"/>
        </w:pBdr>
        <w:spacing w:after="0"/>
        <w:rPr>
          <w:rFonts w:asciiTheme="minorEastAsia" w:hAnsiTheme="minorEastAsia"/>
        </w:rPr>
      </w:pPr>
      <w:r w:rsidRPr="007706F2">
        <w:rPr>
          <w:rFonts w:asciiTheme="minorEastAsia" w:hAnsiTheme="minorEastAsia"/>
        </w:rPr>
        <w:t>希臘詞“</w:t>
      </w:r>
      <w:proofErr w:type="spellStart"/>
      <w:r w:rsidRPr="007706F2">
        <w:rPr>
          <w:rFonts w:asciiTheme="minorEastAsia" w:hAnsiTheme="minorEastAsia"/>
        </w:rPr>
        <w:t>ekklesia</w:t>
      </w:r>
      <w:proofErr w:type="spellEnd"/>
      <w:r w:rsidRPr="007706F2">
        <w:rPr>
          <w:rFonts w:asciiTheme="minorEastAsia" w:hAnsiTheme="minorEastAsia"/>
        </w:rPr>
        <w:t>”來自一個動詞，意思是「被召出來」。在羅馬文化中，這是一個被召集在公共論壇中開會的公民集會。早期基督徒借用了這個詞，來指那些在天主國度中成為公民的人。這個詞在新約中被使用超過一百次，用來談論教會以及在傳教區的當地信徒的聚會。作為教會的成員，我們被「召出」世界，進入祂的國度，同時卻仍然留在世界中，讓祂的國度臨在於我們的影響範圍內。在《厄弗所書》中，我們可以看到新約中最成熟和全面的關於教會的討論。聖保祿不僅使用“</w:t>
      </w:r>
      <w:proofErr w:type="spellStart"/>
      <w:proofErr w:type="gramStart"/>
      <w:r w:rsidRPr="007706F2">
        <w:rPr>
          <w:rFonts w:asciiTheme="minorEastAsia" w:hAnsiTheme="minorEastAsia"/>
        </w:rPr>
        <w:t>ekklesia</w:t>
      </w:r>
      <w:proofErr w:type="spellEnd"/>
      <w:r w:rsidRPr="007706F2">
        <w:rPr>
          <w:rFonts w:asciiTheme="minorEastAsia" w:hAnsiTheme="minorEastAsia"/>
        </w:rPr>
        <w:t>”這個詞</w:t>
      </w:r>
      <w:proofErr w:type="gramEnd"/>
      <w:r w:rsidRPr="007706F2">
        <w:rPr>
          <w:rFonts w:asciiTheme="minorEastAsia" w:hAnsiTheme="minorEastAsia"/>
        </w:rPr>
        <w:t>，他像一位珠寶匠一樣，展示了教會這基督所賜予的機構的各種驚人特質：身體、新娘、家庭等。教會的四個特徵——“ 唯一、至聖、至公、從宗徒傳下來的”——也在這封書信中體現出來（見《厄弗所書》2:19, 2:20, 4:5, 5:27）。教會是由所有國家的人在聖神的力量下，被召入基督內的新天主家庭中。</w:t>
      </w:r>
    </w:p>
    <w:p w14:paraId="00000007" w14:textId="77777777" w:rsidR="00683CB5" w:rsidRPr="007706F2" w:rsidRDefault="00683CB5" w:rsidP="00EC47AC">
      <w:pPr>
        <w:spacing w:after="0"/>
        <w:rPr>
          <w:rFonts w:asciiTheme="minorEastAsia" w:hAnsiTheme="minorEastAsia"/>
        </w:rPr>
      </w:pPr>
    </w:p>
    <w:p w14:paraId="00000008" w14:textId="77777777" w:rsidR="00683CB5" w:rsidRPr="007706F2" w:rsidRDefault="00000000" w:rsidP="00EC47AC">
      <w:pPr>
        <w:spacing w:after="0"/>
        <w:rPr>
          <w:rFonts w:asciiTheme="minorEastAsia" w:hAnsiTheme="minorEastAsia"/>
          <w:b/>
        </w:rPr>
      </w:pPr>
      <w:r w:rsidRPr="007706F2">
        <w:rPr>
          <w:rFonts w:asciiTheme="minorEastAsia" w:hAnsiTheme="minorEastAsia"/>
          <w:b/>
        </w:rPr>
        <w:t>b.</w:t>
      </w:r>
      <w:r w:rsidRPr="007706F2">
        <w:rPr>
          <w:rFonts w:asciiTheme="minorEastAsia" w:hAnsiTheme="minorEastAsia"/>
          <w:b/>
        </w:rPr>
        <w:tab/>
        <w:t>閱讀本章</w:t>
      </w:r>
    </w:p>
    <w:p w14:paraId="00000009" w14:textId="77777777" w:rsidR="00683CB5" w:rsidRPr="007706F2" w:rsidRDefault="00000000" w:rsidP="00EC47AC">
      <w:pPr>
        <w:spacing w:after="0"/>
        <w:rPr>
          <w:rFonts w:asciiTheme="minorEastAsia" w:hAnsiTheme="minorEastAsia"/>
        </w:rPr>
      </w:pPr>
      <w:r w:rsidRPr="007706F2">
        <w:rPr>
          <w:rFonts w:asciiTheme="minorEastAsia" w:hAnsiTheme="minorEastAsia"/>
        </w:rPr>
        <w:t>我們先閱讀《厄弗所書》第5章1至20節。當我們回答問題時，你將會更仔細地讀這些經文，但要首先了解上文下理，這幫助你更好地理解這些經文。</w:t>
      </w:r>
    </w:p>
    <w:p w14:paraId="0000000A" w14:textId="77777777" w:rsidR="00683CB5" w:rsidRPr="007706F2" w:rsidRDefault="00683CB5" w:rsidP="00EC47AC">
      <w:pPr>
        <w:pBdr>
          <w:top w:val="nil"/>
          <w:left w:val="nil"/>
          <w:bottom w:val="nil"/>
          <w:right w:val="nil"/>
          <w:between w:val="nil"/>
        </w:pBdr>
        <w:spacing w:after="0" w:line="240" w:lineRule="auto"/>
        <w:rPr>
          <w:rFonts w:asciiTheme="minorEastAsia" w:hAnsiTheme="minorEastAsia" w:cs="Arial"/>
          <w:color w:val="000000"/>
        </w:rPr>
      </w:pPr>
    </w:p>
    <w:p w14:paraId="0000000B" w14:textId="77777777" w:rsidR="00683CB5" w:rsidRPr="007706F2" w:rsidRDefault="00000000" w:rsidP="00EC47AC">
      <w:pPr>
        <w:pBdr>
          <w:top w:val="nil"/>
          <w:left w:val="nil"/>
          <w:bottom w:val="nil"/>
          <w:right w:val="nil"/>
          <w:between w:val="nil"/>
        </w:pBdr>
        <w:spacing w:after="0" w:line="240" w:lineRule="auto"/>
        <w:rPr>
          <w:rFonts w:asciiTheme="minorEastAsia" w:hAnsiTheme="minorEastAsia" w:cs="Arial"/>
          <w:b/>
          <w:color w:val="000000"/>
        </w:rPr>
      </w:pPr>
      <w:r w:rsidRPr="007706F2">
        <w:rPr>
          <w:rFonts w:asciiTheme="minorEastAsia" w:hAnsiTheme="minorEastAsia" w:cs="Arial"/>
          <w:b/>
          <w:color w:val="000000"/>
        </w:rPr>
        <w:t>c.</w:t>
      </w:r>
      <w:r w:rsidRPr="007706F2">
        <w:rPr>
          <w:rFonts w:asciiTheme="minorEastAsia" w:hAnsiTheme="minorEastAsia"/>
          <w:b/>
          <w:color w:val="000000"/>
        </w:rPr>
        <w:t xml:space="preserve"> 深入了解</w:t>
      </w:r>
    </w:p>
    <w:p w14:paraId="0000000C" w14:textId="77777777" w:rsidR="00683CB5" w:rsidRPr="007706F2" w:rsidRDefault="00683CB5" w:rsidP="00EC47AC">
      <w:pPr>
        <w:spacing w:after="0"/>
        <w:ind w:left="567" w:hanging="567"/>
        <w:rPr>
          <w:rFonts w:asciiTheme="minorEastAsia" w:hAnsiTheme="minorEastAsia"/>
        </w:rPr>
      </w:pPr>
    </w:p>
    <w:p w14:paraId="13F41CBD" w14:textId="77777777" w:rsidR="007706F2" w:rsidRPr="007706F2" w:rsidRDefault="007706F2" w:rsidP="00EC47AC">
      <w:pPr>
        <w:numPr>
          <w:ilvl w:val="0"/>
          <w:numId w:val="1"/>
        </w:numPr>
        <w:pBdr>
          <w:top w:val="nil"/>
          <w:left w:val="nil"/>
          <w:bottom w:val="nil"/>
          <w:right w:val="nil"/>
          <w:between w:val="nil"/>
        </w:pBdr>
        <w:spacing w:after="0"/>
        <w:ind w:left="567" w:hanging="567"/>
        <w:rPr>
          <w:rFonts w:asciiTheme="minorEastAsia" w:hAnsiTheme="minorEastAsia"/>
        </w:rPr>
      </w:pPr>
      <w:r w:rsidRPr="007706F2">
        <w:rPr>
          <w:rFonts w:asciiTheme="minorEastAsia" w:hAnsiTheme="minorEastAsia"/>
          <w:color w:val="000000"/>
        </w:rPr>
        <w:t>Paul gives a stern warning about the dangers of anger: “Be angry but do not sin; do not let the sun go down on your anger” (Ephesians 4:26). What do the Scriptures and Tradition teach us about anger? (See Matthew 5:21-22; Romans 12:18; James 1:19-20; CCC 2302.)</w:t>
      </w:r>
    </w:p>
    <w:p w14:paraId="0000000D" w14:textId="5B7AE01A" w:rsidR="00683CB5" w:rsidRDefault="00000000" w:rsidP="00EC47AC">
      <w:pPr>
        <w:pBdr>
          <w:top w:val="nil"/>
          <w:left w:val="nil"/>
          <w:bottom w:val="nil"/>
          <w:right w:val="nil"/>
          <w:between w:val="nil"/>
        </w:pBdr>
        <w:spacing w:after="0"/>
        <w:ind w:left="567"/>
        <w:rPr>
          <w:rFonts w:asciiTheme="minorEastAsia" w:hAnsiTheme="minorEastAsia"/>
          <w:color w:val="000000"/>
        </w:rPr>
      </w:pPr>
      <w:r w:rsidRPr="007706F2">
        <w:rPr>
          <w:rFonts w:asciiTheme="minorEastAsia" w:hAnsiTheme="minorEastAsia"/>
          <w:color w:val="000000"/>
        </w:rPr>
        <w:lastRenderedPageBreak/>
        <w:t>保祿對憤怒的危險提出嚴厲警告：</w:t>
      </w:r>
      <w:r w:rsidRPr="007706F2">
        <w:rPr>
          <w:rFonts w:asciiTheme="minorEastAsia" w:hAnsiTheme="minorEastAsia"/>
        </w:rPr>
        <w:t>「</w:t>
      </w:r>
      <w:r w:rsidRPr="007706F2">
        <w:rPr>
          <w:rFonts w:asciiTheme="minorEastAsia" w:hAnsiTheme="minorEastAsia"/>
          <w:color w:val="000000"/>
        </w:rPr>
        <w:t>『你們縱然動怒，但是不可犯罪；』不可讓太陽在你們含怒時西落，</w:t>
      </w:r>
      <w:r w:rsidRPr="007706F2">
        <w:rPr>
          <w:rFonts w:asciiTheme="minorEastAsia" w:hAnsiTheme="minorEastAsia"/>
        </w:rPr>
        <w:t>」</w:t>
      </w:r>
      <w:r w:rsidRPr="007706F2">
        <w:rPr>
          <w:rFonts w:asciiTheme="minorEastAsia" w:hAnsiTheme="minorEastAsia"/>
          <w:color w:val="000000"/>
        </w:rPr>
        <w:t>（《厄弗所書》4:26）。聖經和傳統教導我們什麼關於憤怒的事情？（參見《瑪竇福音》5:21-22；《</w:t>
      </w:r>
      <w:bookmarkStart w:id="0" w:name="_Hlk176993292"/>
      <w:r w:rsidRPr="007706F2">
        <w:rPr>
          <w:rFonts w:asciiTheme="minorEastAsia" w:hAnsiTheme="minorEastAsia"/>
          <w:color w:val="000000"/>
        </w:rPr>
        <w:t>羅馬書</w:t>
      </w:r>
      <w:bookmarkEnd w:id="0"/>
      <w:r w:rsidRPr="007706F2">
        <w:rPr>
          <w:rFonts w:asciiTheme="minorEastAsia" w:hAnsiTheme="minorEastAsia"/>
          <w:color w:val="000000"/>
        </w:rPr>
        <w:t>》12:18；《雅各伯書》1:19-20；《天主教教理》2302。）</w:t>
      </w:r>
    </w:p>
    <w:p w14:paraId="67A4C6C4" w14:textId="77777777" w:rsidR="00C83048" w:rsidRDefault="00C83048" w:rsidP="00EC47AC">
      <w:pPr>
        <w:pBdr>
          <w:top w:val="nil"/>
          <w:left w:val="nil"/>
          <w:bottom w:val="nil"/>
          <w:right w:val="nil"/>
          <w:between w:val="nil"/>
        </w:pBdr>
        <w:spacing w:after="0"/>
        <w:ind w:left="567"/>
        <w:rPr>
          <w:rFonts w:asciiTheme="minorEastAsia" w:hAnsiTheme="minorEastAsia"/>
          <w:color w:val="4C94D8" w:themeColor="text2" w:themeTint="80"/>
          <w:sz w:val="16"/>
          <w:szCs w:val="16"/>
          <w:lang w:val="en-US"/>
        </w:rPr>
      </w:pPr>
    </w:p>
    <w:p w14:paraId="3F29438B" w14:textId="77777777" w:rsidR="00DF0B80" w:rsidRPr="00DF0B80" w:rsidRDefault="00DF0B80" w:rsidP="00EC47AC">
      <w:pPr>
        <w:pBdr>
          <w:top w:val="nil"/>
          <w:left w:val="nil"/>
          <w:bottom w:val="nil"/>
          <w:right w:val="nil"/>
          <w:between w:val="nil"/>
        </w:pBdr>
        <w:spacing w:after="0"/>
        <w:ind w:left="567"/>
        <w:rPr>
          <w:rFonts w:asciiTheme="minorEastAsia" w:hAnsiTheme="minorEastAsia"/>
          <w:color w:val="4C94D8" w:themeColor="text2" w:themeTint="80"/>
          <w:sz w:val="16"/>
          <w:szCs w:val="16"/>
        </w:rPr>
      </w:pPr>
    </w:p>
    <w:p w14:paraId="59FBA7AE" w14:textId="77777777" w:rsidR="00DF0B80" w:rsidRPr="007706F2" w:rsidRDefault="00DF0B80" w:rsidP="00EC47AC">
      <w:pPr>
        <w:pBdr>
          <w:top w:val="nil"/>
          <w:left w:val="nil"/>
          <w:bottom w:val="nil"/>
          <w:right w:val="nil"/>
          <w:between w:val="nil"/>
        </w:pBdr>
        <w:spacing w:after="0"/>
        <w:ind w:left="567"/>
        <w:rPr>
          <w:rFonts w:asciiTheme="minorEastAsia" w:hAnsiTheme="minorEastAsia"/>
        </w:rPr>
      </w:pPr>
    </w:p>
    <w:p w14:paraId="0000000E" w14:textId="77777777" w:rsidR="00683CB5" w:rsidRPr="007706F2" w:rsidRDefault="00683CB5" w:rsidP="00EC47AC">
      <w:pPr>
        <w:pBdr>
          <w:top w:val="nil"/>
          <w:left w:val="nil"/>
          <w:bottom w:val="nil"/>
          <w:right w:val="nil"/>
          <w:between w:val="nil"/>
        </w:pBdr>
        <w:spacing w:after="0"/>
        <w:ind w:left="567" w:hanging="567"/>
        <w:rPr>
          <w:rFonts w:asciiTheme="minorEastAsia" w:hAnsiTheme="minorEastAsia"/>
          <w:color w:val="000000"/>
        </w:rPr>
      </w:pPr>
    </w:p>
    <w:p w14:paraId="178644EA" w14:textId="77777777" w:rsidR="00EC47AC" w:rsidRPr="00EC47AC" w:rsidRDefault="007706F2" w:rsidP="00EC47AC">
      <w:pPr>
        <w:numPr>
          <w:ilvl w:val="0"/>
          <w:numId w:val="1"/>
        </w:numPr>
        <w:pBdr>
          <w:top w:val="nil"/>
          <w:left w:val="nil"/>
          <w:bottom w:val="nil"/>
          <w:right w:val="nil"/>
          <w:between w:val="nil"/>
        </w:pBdr>
        <w:spacing w:after="0"/>
        <w:ind w:left="567" w:hanging="567"/>
        <w:rPr>
          <w:rFonts w:asciiTheme="minorEastAsia" w:hAnsiTheme="minorEastAsia"/>
        </w:rPr>
      </w:pPr>
      <w:r w:rsidRPr="007706F2">
        <w:rPr>
          <w:rFonts w:asciiTheme="minorEastAsia" w:hAnsiTheme="minorEastAsia"/>
          <w:color w:val="000000"/>
        </w:rPr>
        <w:t>In Ephesians 4:30, Paul exhorts, “Do not grieve the Holy Spirit of God, in whom you were sealed for the day of redemption.” According to the Catechism, what is the significance of that seal of the Holy Spirit? (See CCC 1274, 1295–1296.)</w:t>
      </w:r>
    </w:p>
    <w:p w14:paraId="0000000F" w14:textId="56B276D9" w:rsidR="00683CB5" w:rsidRPr="00EC47AC" w:rsidRDefault="00000000" w:rsidP="00EC47AC">
      <w:pPr>
        <w:pBdr>
          <w:top w:val="nil"/>
          <w:left w:val="nil"/>
          <w:bottom w:val="nil"/>
          <w:right w:val="nil"/>
          <w:between w:val="nil"/>
        </w:pBdr>
        <w:spacing w:after="0"/>
        <w:ind w:left="567"/>
        <w:rPr>
          <w:rFonts w:asciiTheme="minorEastAsia" w:hAnsiTheme="minorEastAsia"/>
        </w:rPr>
      </w:pPr>
      <w:r w:rsidRPr="007706F2">
        <w:rPr>
          <w:rFonts w:asciiTheme="minorEastAsia" w:hAnsiTheme="minorEastAsia"/>
          <w:color w:val="000000"/>
        </w:rPr>
        <w:t>在《厄弗所書》4:30中，保祿勸告：</w:t>
      </w:r>
      <w:r w:rsidRPr="007706F2">
        <w:rPr>
          <w:rFonts w:asciiTheme="minorEastAsia" w:hAnsiTheme="minorEastAsia"/>
        </w:rPr>
        <w:t>「</w:t>
      </w:r>
      <w:r w:rsidRPr="007706F2">
        <w:rPr>
          <w:rFonts w:asciiTheme="minorEastAsia" w:hAnsiTheme="minorEastAsia"/>
          <w:color w:val="000000"/>
        </w:rPr>
        <w:t>你們不要叫天主的聖神憂鬱，因為你們是在他內受了印證，以待得救的日子。</w:t>
      </w:r>
      <w:r w:rsidRPr="007706F2">
        <w:rPr>
          <w:rFonts w:asciiTheme="minorEastAsia" w:hAnsiTheme="minorEastAsia"/>
        </w:rPr>
        <w:t>」</w:t>
      </w:r>
      <w:r w:rsidRPr="007706F2">
        <w:rPr>
          <w:rFonts w:asciiTheme="minorEastAsia" w:hAnsiTheme="minorEastAsia"/>
          <w:color w:val="000000"/>
        </w:rPr>
        <w:t>根據《天主教教理》，聖神的印記有什麼重要的意義？（參見《天主教教理》1274,1295-1296。）</w:t>
      </w:r>
    </w:p>
    <w:p w14:paraId="7A3113F6" w14:textId="77777777" w:rsidR="00EC47AC" w:rsidRPr="00EC47AC" w:rsidRDefault="00EC47AC" w:rsidP="00EC47AC">
      <w:pPr>
        <w:pBdr>
          <w:top w:val="nil"/>
          <w:left w:val="nil"/>
          <w:bottom w:val="nil"/>
          <w:right w:val="nil"/>
          <w:between w:val="nil"/>
        </w:pBdr>
        <w:spacing w:after="0"/>
        <w:ind w:left="567"/>
        <w:rPr>
          <w:rFonts w:asciiTheme="minorEastAsia" w:hAnsiTheme="minorEastAsia"/>
          <w:color w:val="4C94D8" w:themeColor="text2" w:themeTint="80"/>
          <w:sz w:val="16"/>
          <w:szCs w:val="16"/>
        </w:rPr>
      </w:pPr>
    </w:p>
    <w:p w14:paraId="00000010" w14:textId="77777777" w:rsidR="00683CB5" w:rsidRPr="007706F2" w:rsidRDefault="00683CB5" w:rsidP="00EC47AC">
      <w:pPr>
        <w:pBdr>
          <w:top w:val="nil"/>
          <w:left w:val="nil"/>
          <w:bottom w:val="nil"/>
          <w:right w:val="nil"/>
          <w:between w:val="nil"/>
        </w:pBdr>
        <w:spacing w:after="0"/>
        <w:ind w:left="567" w:hanging="567"/>
        <w:rPr>
          <w:rFonts w:asciiTheme="minorEastAsia" w:hAnsiTheme="minorEastAsia"/>
          <w:color w:val="000000"/>
        </w:rPr>
      </w:pPr>
    </w:p>
    <w:p w14:paraId="00000011" w14:textId="77777777" w:rsidR="00683CB5" w:rsidRPr="007706F2" w:rsidRDefault="00683CB5" w:rsidP="00EC47AC">
      <w:pPr>
        <w:pBdr>
          <w:top w:val="nil"/>
          <w:left w:val="nil"/>
          <w:bottom w:val="nil"/>
          <w:right w:val="nil"/>
          <w:between w:val="nil"/>
        </w:pBdr>
        <w:spacing w:after="0"/>
        <w:ind w:left="567" w:hanging="567"/>
        <w:rPr>
          <w:rFonts w:asciiTheme="minorEastAsia" w:hAnsiTheme="minorEastAsia"/>
          <w:color w:val="000000"/>
        </w:rPr>
      </w:pPr>
    </w:p>
    <w:p w14:paraId="06CAE3E0" w14:textId="77777777" w:rsidR="007706F2" w:rsidRDefault="007706F2" w:rsidP="00EC47AC">
      <w:pPr>
        <w:numPr>
          <w:ilvl w:val="0"/>
          <w:numId w:val="1"/>
        </w:numPr>
        <w:pBdr>
          <w:top w:val="nil"/>
          <w:left w:val="nil"/>
          <w:bottom w:val="nil"/>
          <w:right w:val="nil"/>
          <w:between w:val="nil"/>
        </w:pBdr>
        <w:spacing w:after="0"/>
        <w:ind w:left="567" w:hanging="567"/>
        <w:rPr>
          <w:rFonts w:asciiTheme="minorEastAsia" w:hAnsiTheme="minorEastAsia"/>
          <w:color w:val="000000"/>
        </w:rPr>
      </w:pPr>
      <w:r w:rsidRPr="007706F2">
        <w:rPr>
          <w:rFonts w:asciiTheme="minorEastAsia" w:hAnsiTheme="minorEastAsia"/>
          <w:color w:val="000000"/>
        </w:rPr>
        <w:t>Twice Paul warns about the dangers of immorality, impurity, and covetousness (see Ephesians 5:3, 5:5). He even says they are equivalent with idol worship (see Ephesians 5:5). How are these three characteristics a form of idolatry for us?</w:t>
      </w:r>
    </w:p>
    <w:p w14:paraId="00000012" w14:textId="1A42913F" w:rsidR="00683CB5" w:rsidRDefault="00000000" w:rsidP="00EC47AC">
      <w:pPr>
        <w:pBdr>
          <w:top w:val="nil"/>
          <w:left w:val="nil"/>
          <w:bottom w:val="nil"/>
          <w:right w:val="nil"/>
          <w:between w:val="nil"/>
        </w:pBdr>
        <w:spacing w:after="0"/>
        <w:ind w:left="567"/>
        <w:rPr>
          <w:rFonts w:asciiTheme="minorEastAsia" w:hAnsiTheme="minorEastAsia"/>
          <w:color w:val="000000"/>
        </w:rPr>
      </w:pPr>
      <w:r w:rsidRPr="007706F2">
        <w:rPr>
          <w:rFonts w:asciiTheme="minorEastAsia" w:hAnsiTheme="minorEastAsia"/>
          <w:color w:val="000000"/>
        </w:rPr>
        <w:t>保祿兩次警告我們有關不道德、不潔和貪婪的危險（見《厄弗所書》5:3,5:5）。他甚至說這些等同於偶像崇拜（見《厄弗所書》5:5）。</w:t>
      </w:r>
      <w:r w:rsidRPr="007706F2">
        <w:rPr>
          <w:rFonts w:asciiTheme="minorEastAsia" w:hAnsiTheme="minorEastAsia"/>
        </w:rPr>
        <w:t>對我們來說，</w:t>
      </w:r>
      <w:r w:rsidRPr="007706F2">
        <w:rPr>
          <w:rFonts w:asciiTheme="minorEastAsia" w:hAnsiTheme="minorEastAsia"/>
          <w:color w:val="000000"/>
        </w:rPr>
        <w:t>為什麼這三個</w:t>
      </w:r>
      <w:r w:rsidRPr="007706F2">
        <w:rPr>
          <w:rFonts w:asciiTheme="minorEastAsia" w:hAnsiTheme="minorEastAsia"/>
        </w:rPr>
        <w:t>惡習</w:t>
      </w:r>
      <w:r w:rsidRPr="007706F2">
        <w:rPr>
          <w:rFonts w:asciiTheme="minorEastAsia" w:hAnsiTheme="minorEastAsia"/>
          <w:color w:val="000000"/>
        </w:rPr>
        <w:t>是一種偶像崇拜？</w:t>
      </w:r>
    </w:p>
    <w:p w14:paraId="00000013" w14:textId="77777777" w:rsidR="00683CB5" w:rsidRDefault="00683CB5" w:rsidP="00EC47AC">
      <w:pPr>
        <w:pBdr>
          <w:top w:val="nil"/>
          <w:left w:val="nil"/>
          <w:bottom w:val="nil"/>
          <w:right w:val="nil"/>
          <w:between w:val="nil"/>
        </w:pBdr>
        <w:spacing w:after="0"/>
        <w:ind w:left="567" w:hanging="567"/>
        <w:rPr>
          <w:rFonts w:asciiTheme="minorEastAsia" w:hAnsiTheme="minorEastAsia"/>
          <w:color w:val="000000"/>
        </w:rPr>
      </w:pPr>
    </w:p>
    <w:p w14:paraId="4FCFE1FF" w14:textId="77777777" w:rsidR="009C7C22" w:rsidRDefault="009C7C22" w:rsidP="00EC47AC">
      <w:pPr>
        <w:pBdr>
          <w:top w:val="nil"/>
          <w:left w:val="nil"/>
          <w:bottom w:val="nil"/>
          <w:right w:val="nil"/>
          <w:between w:val="nil"/>
        </w:pBdr>
        <w:spacing w:after="0"/>
        <w:ind w:left="567" w:hanging="567"/>
        <w:rPr>
          <w:rFonts w:asciiTheme="minorEastAsia" w:hAnsiTheme="minorEastAsia"/>
          <w:color w:val="000000"/>
        </w:rPr>
      </w:pPr>
    </w:p>
    <w:p w14:paraId="12C27A1C" w14:textId="77777777" w:rsidR="009C7C22" w:rsidRPr="007706F2" w:rsidRDefault="009C7C22" w:rsidP="00EC47AC">
      <w:pPr>
        <w:pBdr>
          <w:top w:val="nil"/>
          <w:left w:val="nil"/>
          <w:bottom w:val="nil"/>
          <w:right w:val="nil"/>
          <w:between w:val="nil"/>
        </w:pBdr>
        <w:spacing w:after="0"/>
        <w:ind w:left="567" w:hanging="567"/>
        <w:rPr>
          <w:rFonts w:asciiTheme="minorEastAsia" w:hAnsiTheme="minorEastAsia"/>
          <w:color w:val="000000"/>
        </w:rPr>
      </w:pPr>
    </w:p>
    <w:p w14:paraId="723D35F0" w14:textId="77777777" w:rsidR="007706F2" w:rsidRDefault="00000000" w:rsidP="00EC47AC">
      <w:pPr>
        <w:spacing w:after="0"/>
        <w:ind w:left="567" w:hanging="567"/>
        <w:rPr>
          <w:rFonts w:asciiTheme="minorEastAsia" w:hAnsiTheme="minorEastAsia"/>
        </w:rPr>
      </w:pPr>
      <w:r w:rsidRPr="007706F2">
        <w:rPr>
          <w:rFonts w:asciiTheme="minorEastAsia" w:hAnsiTheme="minorEastAsia"/>
        </w:rPr>
        <w:t>4.</w:t>
      </w:r>
      <w:r w:rsidRPr="007706F2">
        <w:rPr>
          <w:rFonts w:asciiTheme="minorEastAsia" w:hAnsiTheme="minorEastAsia"/>
        </w:rPr>
        <w:tab/>
      </w:r>
      <w:r w:rsidR="007706F2" w:rsidRPr="007706F2">
        <w:rPr>
          <w:rFonts w:asciiTheme="minorEastAsia" w:hAnsiTheme="minorEastAsia"/>
        </w:rPr>
        <w:t>Read Ephesians 5:8-21, where Paul gives instruction on light and darkness.</w:t>
      </w:r>
    </w:p>
    <w:p w14:paraId="00000014" w14:textId="4757113D" w:rsidR="00683CB5" w:rsidRDefault="00000000" w:rsidP="00EC47AC">
      <w:pPr>
        <w:spacing w:after="0"/>
        <w:ind w:left="567"/>
        <w:rPr>
          <w:rFonts w:asciiTheme="minorEastAsia" w:hAnsiTheme="minorEastAsia"/>
        </w:rPr>
      </w:pPr>
      <w:r w:rsidRPr="007706F2">
        <w:rPr>
          <w:rFonts w:asciiTheme="minorEastAsia" w:hAnsiTheme="minorEastAsia"/>
        </w:rPr>
        <w:t>閱讀《厄弗所書》5:8-21，保祿在這裡對光明和黑暗作出指導。</w:t>
      </w:r>
    </w:p>
    <w:p w14:paraId="16D2CA8D" w14:textId="77777777" w:rsidR="009C7C22" w:rsidRDefault="009C7C22" w:rsidP="00EC47AC">
      <w:pPr>
        <w:tabs>
          <w:tab w:val="left" w:pos="7125"/>
        </w:tabs>
        <w:spacing w:after="0"/>
        <w:ind w:left="567" w:hanging="567"/>
        <w:rPr>
          <w:rFonts w:asciiTheme="minorEastAsia" w:hAnsiTheme="minorEastAsia"/>
        </w:rPr>
      </w:pPr>
    </w:p>
    <w:p w14:paraId="4040D806" w14:textId="77777777" w:rsidR="009C7C22" w:rsidRDefault="009C7C22" w:rsidP="00EC47AC">
      <w:pPr>
        <w:tabs>
          <w:tab w:val="left" w:pos="7125"/>
        </w:tabs>
        <w:spacing w:after="0"/>
        <w:ind w:left="567" w:hanging="567"/>
        <w:rPr>
          <w:rFonts w:asciiTheme="minorEastAsia" w:hAnsiTheme="minorEastAsia"/>
        </w:rPr>
      </w:pPr>
    </w:p>
    <w:p w14:paraId="3EE7A8FE" w14:textId="2FB14F6D" w:rsidR="007706F2" w:rsidRDefault="00000000" w:rsidP="00EC47AC">
      <w:pPr>
        <w:tabs>
          <w:tab w:val="left" w:pos="7125"/>
        </w:tabs>
        <w:spacing w:after="0"/>
        <w:ind w:left="567" w:hanging="567"/>
        <w:rPr>
          <w:rFonts w:asciiTheme="minorEastAsia" w:hAnsiTheme="minorEastAsia"/>
        </w:rPr>
      </w:pPr>
      <w:r w:rsidRPr="007706F2">
        <w:rPr>
          <w:rFonts w:asciiTheme="minorEastAsia" w:hAnsiTheme="minorEastAsia"/>
        </w:rPr>
        <w:tab/>
        <w:t xml:space="preserve">a. </w:t>
      </w:r>
      <w:r w:rsidR="007706F2" w:rsidRPr="007706F2">
        <w:rPr>
          <w:rFonts w:asciiTheme="minorEastAsia" w:hAnsiTheme="minorEastAsia"/>
        </w:rPr>
        <w:t>What are all the characteristics of those who walk in the light?</w:t>
      </w:r>
    </w:p>
    <w:p w14:paraId="00000015" w14:textId="68A79D59" w:rsidR="00683CB5" w:rsidRDefault="007706F2" w:rsidP="00EC47AC">
      <w:pPr>
        <w:tabs>
          <w:tab w:val="left" w:pos="7125"/>
        </w:tabs>
        <w:spacing w:after="0"/>
        <w:ind w:left="567" w:hanging="567"/>
        <w:rPr>
          <w:rFonts w:asciiTheme="minorEastAsia" w:hAnsiTheme="minorEastAsia"/>
        </w:rPr>
      </w:pPr>
      <w:r>
        <w:rPr>
          <w:rFonts w:asciiTheme="minorEastAsia" w:hAnsiTheme="minorEastAsia"/>
        </w:rPr>
        <w:tab/>
      </w:r>
      <w:r w:rsidRPr="007706F2">
        <w:rPr>
          <w:rFonts w:asciiTheme="minorEastAsia" w:hAnsiTheme="minorEastAsia"/>
        </w:rPr>
        <w:t>那些行在光明中的人的所有特質是什麼？</w:t>
      </w:r>
    </w:p>
    <w:p w14:paraId="2B07BE56" w14:textId="77777777" w:rsidR="009C7C22" w:rsidRDefault="009C7C22" w:rsidP="00EC47AC">
      <w:pPr>
        <w:tabs>
          <w:tab w:val="left" w:pos="7125"/>
        </w:tabs>
        <w:spacing w:after="0"/>
        <w:ind w:left="567" w:hanging="567"/>
        <w:rPr>
          <w:rFonts w:asciiTheme="minorEastAsia" w:hAnsiTheme="minorEastAsia"/>
        </w:rPr>
      </w:pPr>
    </w:p>
    <w:p w14:paraId="02E3E714" w14:textId="77777777" w:rsidR="009C7C22" w:rsidRPr="007706F2" w:rsidRDefault="009C7C22" w:rsidP="00EC47AC">
      <w:pPr>
        <w:tabs>
          <w:tab w:val="left" w:pos="7125"/>
        </w:tabs>
        <w:spacing w:after="0"/>
        <w:ind w:left="567" w:hanging="567"/>
        <w:rPr>
          <w:rFonts w:asciiTheme="minorEastAsia" w:hAnsiTheme="minorEastAsia" w:hint="eastAsia"/>
        </w:rPr>
      </w:pPr>
    </w:p>
    <w:p w14:paraId="5B8AD827" w14:textId="77777777" w:rsidR="007706F2" w:rsidRDefault="00000000" w:rsidP="00EC47AC">
      <w:pPr>
        <w:spacing w:after="0"/>
        <w:ind w:left="567"/>
        <w:rPr>
          <w:rFonts w:asciiTheme="minorEastAsia" w:hAnsiTheme="minorEastAsia"/>
        </w:rPr>
      </w:pPr>
      <w:r w:rsidRPr="007706F2">
        <w:rPr>
          <w:rFonts w:asciiTheme="minorEastAsia" w:hAnsiTheme="minorEastAsia"/>
        </w:rPr>
        <w:t xml:space="preserve">b. </w:t>
      </w:r>
      <w:r w:rsidR="007706F2" w:rsidRPr="007706F2">
        <w:rPr>
          <w:rFonts w:asciiTheme="minorEastAsia" w:hAnsiTheme="minorEastAsia"/>
        </w:rPr>
        <w:t>What should be our response when we are aware of (enlightened to) sin in our lives?</w:t>
      </w:r>
    </w:p>
    <w:p w14:paraId="00000016" w14:textId="094C9F60" w:rsidR="00683CB5" w:rsidRPr="007706F2" w:rsidRDefault="00000000" w:rsidP="00EC47AC">
      <w:pPr>
        <w:spacing w:after="0"/>
        <w:ind w:left="567"/>
        <w:rPr>
          <w:rFonts w:asciiTheme="minorEastAsia" w:hAnsiTheme="minorEastAsia"/>
        </w:rPr>
      </w:pPr>
      <w:r w:rsidRPr="007706F2">
        <w:rPr>
          <w:rFonts w:asciiTheme="minorEastAsia" w:hAnsiTheme="minorEastAsia"/>
        </w:rPr>
        <w:t xml:space="preserve">當我們意識到生活中的罪惡時，我們應該有什麼反應？   </w:t>
      </w:r>
    </w:p>
    <w:p w14:paraId="7140DA01" w14:textId="77777777" w:rsidR="007706F2" w:rsidRDefault="007706F2" w:rsidP="00EC47AC">
      <w:pPr>
        <w:numPr>
          <w:ilvl w:val="0"/>
          <w:numId w:val="2"/>
        </w:numPr>
        <w:pBdr>
          <w:top w:val="nil"/>
          <w:left w:val="nil"/>
          <w:bottom w:val="nil"/>
          <w:right w:val="nil"/>
          <w:between w:val="nil"/>
        </w:pBdr>
        <w:spacing w:after="0"/>
        <w:ind w:left="567" w:hanging="567"/>
        <w:rPr>
          <w:rFonts w:asciiTheme="minorEastAsia" w:hAnsiTheme="minorEastAsia"/>
          <w:color w:val="000000"/>
        </w:rPr>
      </w:pPr>
      <w:r w:rsidRPr="007706F2">
        <w:rPr>
          <w:rFonts w:asciiTheme="minorEastAsia" w:hAnsiTheme="minorEastAsia"/>
          <w:color w:val="000000"/>
        </w:rPr>
        <w:lastRenderedPageBreak/>
        <w:t>Paul asks us to “ be filled with the Spirit” (Ephesians 5:18). Using Ephesians 1:13, 2:22, 3:19, 4:3, and 6:17-18, trace this theme through the entire letter. What are some of the many ways we can understand this invitation?</w:t>
      </w:r>
    </w:p>
    <w:p w14:paraId="00000018" w14:textId="2D820D31" w:rsidR="00683CB5" w:rsidRDefault="00000000" w:rsidP="00EC47AC">
      <w:pPr>
        <w:pBdr>
          <w:top w:val="nil"/>
          <w:left w:val="nil"/>
          <w:bottom w:val="nil"/>
          <w:right w:val="nil"/>
          <w:between w:val="nil"/>
        </w:pBdr>
        <w:spacing w:after="0"/>
        <w:ind w:left="567"/>
        <w:rPr>
          <w:rFonts w:asciiTheme="minorEastAsia" w:hAnsiTheme="minorEastAsia"/>
          <w:color w:val="000000"/>
        </w:rPr>
      </w:pPr>
      <w:r w:rsidRPr="007706F2">
        <w:rPr>
          <w:rFonts w:asciiTheme="minorEastAsia" w:hAnsiTheme="minorEastAsia"/>
          <w:color w:val="000000"/>
        </w:rPr>
        <w:t>保祿要求我們</w:t>
      </w:r>
      <w:r w:rsidRPr="007706F2">
        <w:rPr>
          <w:rFonts w:asciiTheme="minorEastAsia" w:hAnsiTheme="minorEastAsia"/>
        </w:rPr>
        <w:t>「</w:t>
      </w:r>
      <w:r w:rsidRPr="007706F2">
        <w:rPr>
          <w:rFonts w:asciiTheme="minorEastAsia" w:hAnsiTheme="minorEastAsia"/>
          <w:color w:val="000000"/>
        </w:rPr>
        <w:t>充滿聖神</w:t>
      </w:r>
      <w:r w:rsidRPr="007706F2">
        <w:rPr>
          <w:rFonts w:asciiTheme="minorEastAsia" w:hAnsiTheme="minorEastAsia"/>
        </w:rPr>
        <w:t>」</w:t>
      </w:r>
      <w:r w:rsidRPr="007706F2">
        <w:rPr>
          <w:rFonts w:asciiTheme="minorEastAsia" w:hAnsiTheme="minorEastAsia"/>
          <w:color w:val="000000"/>
        </w:rPr>
        <w:t>（《厄弗所書》5:18）。</w:t>
      </w:r>
      <w:r w:rsidRPr="007706F2">
        <w:rPr>
          <w:rFonts w:asciiTheme="minorEastAsia" w:hAnsiTheme="minorEastAsia"/>
        </w:rPr>
        <w:t>由</w:t>
      </w:r>
      <w:r w:rsidRPr="007706F2">
        <w:rPr>
          <w:rFonts w:asciiTheme="minorEastAsia" w:hAnsiTheme="minorEastAsia"/>
          <w:color w:val="000000"/>
        </w:rPr>
        <w:t>《厄弗所書》1:13, 2:22, 3:19, 4:3, 6:17-18</w:t>
      </w:r>
      <w:r w:rsidRPr="007706F2">
        <w:rPr>
          <w:rFonts w:asciiTheme="minorEastAsia" w:hAnsiTheme="minorEastAsia"/>
        </w:rPr>
        <w:t xml:space="preserve"> 開始，</w:t>
      </w:r>
      <w:r w:rsidRPr="007706F2">
        <w:rPr>
          <w:rFonts w:asciiTheme="minorEastAsia" w:hAnsiTheme="minorEastAsia"/>
          <w:color w:val="000000"/>
        </w:rPr>
        <w:t>追蹤整封書信</w:t>
      </w:r>
      <w:r w:rsidRPr="007706F2">
        <w:rPr>
          <w:rFonts w:asciiTheme="minorEastAsia" w:hAnsiTheme="minorEastAsia"/>
        </w:rPr>
        <w:t>，看看它如何</w:t>
      </w:r>
      <w:r w:rsidRPr="007706F2">
        <w:rPr>
          <w:rFonts w:asciiTheme="minorEastAsia" w:hAnsiTheme="minorEastAsia"/>
          <w:color w:val="000000"/>
        </w:rPr>
        <w:t>表達</w:t>
      </w:r>
      <w:r w:rsidRPr="007706F2">
        <w:rPr>
          <w:rFonts w:asciiTheme="minorEastAsia" w:hAnsiTheme="minorEastAsia"/>
        </w:rPr>
        <w:t>這個主題</w:t>
      </w:r>
      <w:r w:rsidRPr="007706F2">
        <w:rPr>
          <w:rFonts w:asciiTheme="minorEastAsia" w:hAnsiTheme="minorEastAsia"/>
          <w:color w:val="000000"/>
        </w:rPr>
        <w:t>。我們可以理解這個邀請的方式</w:t>
      </w:r>
      <w:r w:rsidRPr="007706F2">
        <w:rPr>
          <w:rFonts w:asciiTheme="minorEastAsia" w:hAnsiTheme="minorEastAsia"/>
        </w:rPr>
        <w:t>嗎</w:t>
      </w:r>
      <w:r w:rsidRPr="007706F2">
        <w:rPr>
          <w:rFonts w:asciiTheme="minorEastAsia" w:hAnsiTheme="minorEastAsia"/>
          <w:color w:val="000000"/>
        </w:rPr>
        <w:t>？</w:t>
      </w:r>
    </w:p>
    <w:p w14:paraId="50A22342" w14:textId="77777777" w:rsidR="00EC47AC" w:rsidRDefault="00EC47AC" w:rsidP="00EC47AC">
      <w:pPr>
        <w:pBdr>
          <w:top w:val="nil"/>
          <w:left w:val="nil"/>
          <w:bottom w:val="nil"/>
          <w:right w:val="nil"/>
          <w:between w:val="nil"/>
        </w:pBdr>
        <w:spacing w:after="0"/>
        <w:ind w:left="567"/>
        <w:rPr>
          <w:rFonts w:asciiTheme="minorEastAsia" w:hAnsiTheme="minorEastAsia"/>
          <w:color w:val="4C94D8" w:themeColor="text2" w:themeTint="80"/>
          <w:sz w:val="16"/>
          <w:szCs w:val="16"/>
        </w:rPr>
      </w:pPr>
    </w:p>
    <w:p w14:paraId="71478802" w14:textId="77777777" w:rsidR="009C7C22" w:rsidRPr="00EC47AC" w:rsidRDefault="009C7C22" w:rsidP="00EC47AC">
      <w:pPr>
        <w:pBdr>
          <w:top w:val="nil"/>
          <w:left w:val="nil"/>
          <w:bottom w:val="nil"/>
          <w:right w:val="nil"/>
          <w:between w:val="nil"/>
        </w:pBdr>
        <w:spacing w:after="0"/>
        <w:ind w:left="567"/>
        <w:rPr>
          <w:rFonts w:asciiTheme="minorEastAsia" w:hAnsiTheme="minorEastAsia"/>
          <w:color w:val="4C94D8" w:themeColor="text2" w:themeTint="80"/>
          <w:sz w:val="16"/>
          <w:szCs w:val="16"/>
        </w:rPr>
      </w:pPr>
    </w:p>
    <w:p w14:paraId="00000019" w14:textId="77777777" w:rsidR="00683CB5" w:rsidRDefault="00683CB5" w:rsidP="00EC47AC">
      <w:pPr>
        <w:pBdr>
          <w:top w:val="nil"/>
          <w:left w:val="nil"/>
          <w:bottom w:val="nil"/>
          <w:right w:val="nil"/>
          <w:between w:val="nil"/>
        </w:pBdr>
        <w:spacing w:after="0"/>
        <w:ind w:left="1080"/>
        <w:rPr>
          <w:rFonts w:asciiTheme="minorEastAsia" w:hAnsiTheme="minorEastAsia"/>
          <w:color w:val="000000"/>
        </w:rPr>
      </w:pPr>
    </w:p>
    <w:p w14:paraId="1D134BEC" w14:textId="77777777" w:rsidR="009C7C22" w:rsidRDefault="009C7C22" w:rsidP="00EC47AC">
      <w:pPr>
        <w:pBdr>
          <w:top w:val="nil"/>
          <w:left w:val="nil"/>
          <w:bottom w:val="nil"/>
          <w:right w:val="nil"/>
          <w:between w:val="nil"/>
        </w:pBdr>
        <w:spacing w:after="0"/>
        <w:ind w:left="1080"/>
        <w:rPr>
          <w:rFonts w:asciiTheme="minorEastAsia" w:hAnsiTheme="minorEastAsia"/>
          <w:color w:val="000000"/>
        </w:rPr>
      </w:pPr>
    </w:p>
    <w:p w14:paraId="2856399B" w14:textId="77777777" w:rsidR="009C7C22" w:rsidRPr="007706F2" w:rsidRDefault="009C7C22" w:rsidP="00EC47AC">
      <w:pPr>
        <w:pBdr>
          <w:top w:val="nil"/>
          <w:left w:val="nil"/>
          <w:bottom w:val="nil"/>
          <w:right w:val="nil"/>
          <w:between w:val="nil"/>
        </w:pBdr>
        <w:spacing w:after="0"/>
        <w:ind w:left="1080"/>
        <w:rPr>
          <w:rFonts w:asciiTheme="minorEastAsia" w:hAnsiTheme="minorEastAsia"/>
          <w:color w:val="000000"/>
        </w:rPr>
      </w:pPr>
    </w:p>
    <w:p w14:paraId="0000001A" w14:textId="77777777" w:rsidR="00683CB5" w:rsidRPr="007706F2" w:rsidRDefault="00000000" w:rsidP="00EC47AC">
      <w:pPr>
        <w:spacing w:after="0"/>
        <w:rPr>
          <w:rFonts w:asciiTheme="minorEastAsia" w:hAnsiTheme="minorEastAsia"/>
        </w:rPr>
      </w:pPr>
      <w:r w:rsidRPr="007706F2">
        <w:rPr>
          <w:rFonts w:asciiTheme="minorEastAsia" w:hAnsiTheme="minorEastAsia"/>
        </w:rPr>
        <w:t>(本課重點提取) TAKEAWAYS</w:t>
      </w:r>
    </w:p>
    <w:p w14:paraId="0000001B" w14:textId="77777777" w:rsidR="00683CB5" w:rsidRPr="007706F2" w:rsidRDefault="00000000" w:rsidP="00EC47AC">
      <w:pPr>
        <w:spacing w:after="0"/>
        <w:ind w:left="709" w:hanging="709"/>
        <w:rPr>
          <w:rFonts w:asciiTheme="minorEastAsia" w:hAnsiTheme="minorEastAsia"/>
        </w:rPr>
      </w:pPr>
      <w:r w:rsidRPr="007706F2">
        <w:rPr>
          <w:rFonts w:asciiTheme="minorEastAsia" w:hAnsiTheme="minorEastAsia"/>
        </w:rPr>
        <w:t>1.</w:t>
      </w:r>
      <w:r w:rsidRPr="007706F2">
        <w:rPr>
          <w:rFonts w:asciiTheme="minorEastAsia" w:hAnsiTheme="minorEastAsia"/>
        </w:rPr>
        <w:tab/>
        <w:t>仔細看看你的生活方式，這周用些時間祈禱，請求主光照你生活中的各個領域，看看你在時間運用方面，是否不符合天主的兒女身份。</w:t>
      </w:r>
    </w:p>
    <w:p w14:paraId="0000001C" w14:textId="77777777" w:rsidR="00683CB5" w:rsidRPr="007706F2" w:rsidRDefault="00000000" w:rsidP="00EC47AC">
      <w:pPr>
        <w:spacing w:after="0"/>
        <w:ind w:left="709" w:hanging="709"/>
        <w:rPr>
          <w:rFonts w:asciiTheme="minorEastAsia" w:hAnsiTheme="minorEastAsia"/>
        </w:rPr>
      </w:pPr>
      <w:r w:rsidRPr="007706F2">
        <w:rPr>
          <w:rFonts w:asciiTheme="minorEastAsia" w:hAnsiTheme="minorEastAsia"/>
        </w:rPr>
        <w:t>2.</w:t>
      </w:r>
      <w:r w:rsidRPr="007706F2">
        <w:rPr>
          <w:rFonts w:asciiTheme="minorEastAsia" w:hAnsiTheme="minorEastAsia"/>
        </w:rPr>
        <w:tab/>
        <w:t>這周用些時間寫下或記下你感恩的事情，培養一顆感恩的心。</w:t>
      </w:r>
    </w:p>
    <w:p w14:paraId="0000001D" w14:textId="77777777" w:rsidR="00683CB5" w:rsidRPr="007706F2" w:rsidRDefault="00000000" w:rsidP="00EC47AC">
      <w:pPr>
        <w:spacing w:after="0"/>
        <w:ind w:left="709" w:hanging="709"/>
        <w:rPr>
          <w:rFonts w:asciiTheme="minorEastAsia" w:hAnsiTheme="minorEastAsia"/>
        </w:rPr>
      </w:pPr>
      <w:r w:rsidRPr="007706F2">
        <w:rPr>
          <w:rFonts w:asciiTheme="minorEastAsia" w:hAnsiTheme="minorEastAsia"/>
        </w:rPr>
        <w:t>3.</w:t>
      </w:r>
      <w:r w:rsidRPr="007706F2">
        <w:rPr>
          <w:rFonts w:asciiTheme="minorEastAsia" w:hAnsiTheme="minorEastAsia"/>
        </w:rPr>
        <w:tab/>
        <w:t>保祿在這段經文的結尾鼓勵我們彼此應「以聖詠、詩詞及屬神的歌曲，互相對談，在你們心中歌頌讚美主」（《厄弗所書》5:19）。從一開始，音樂就是基督徒敬</w:t>
      </w:r>
      <w:r w:rsidRPr="007706F2">
        <w:rPr>
          <w:rFonts w:asciiTheme="minorEastAsia" w:hAnsiTheme="minorEastAsia" w:cs="PMingLiU"/>
        </w:rPr>
        <w:t>禮</w:t>
      </w:r>
      <w:r w:rsidRPr="007706F2">
        <w:rPr>
          <w:rFonts w:asciiTheme="minorEastAsia" w:hAnsiTheme="minorEastAsia"/>
        </w:rPr>
        <w:t>的一部分。分享一首特別的聖詠-- 這首聖詠在你與主的關係中豐富和鼓勵了你。</w:t>
      </w:r>
    </w:p>
    <w:p w14:paraId="3027686D" w14:textId="77777777" w:rsidR="00EC47AC" w:rsidRPr="007706F2" w:rsidRDefault="00EC47AC">
      <w:pPr>
        <w:spacing w:after="0"/>
        <w:ind w:left="709" w:hanging="709"/>
        <w:rPr>
          <w:rFonts w:asciiTheme="minorEastAsia" w:hAnsiTheme="minorEastAsia"/>
        </w:rPr>
      </w:pPr>
    </w:p>
    <w:sectPr w:rsidR="00EC47AC" w:rsidRPr="007706F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C20FC" w14:textId="77777777" w:rsidR="00517282" w:rsidRDefault="00517282" w:rsidP="00C83048">
      <w:pPr>
        <w:spacing w:after="0" w:line="240" w:lineRule="auto"/>
      </w:pPr>
      <w:r>
        <w:separator/>
      </w:r>
    </w:p>
  </w:endnote>
  <w:endnote w:type="continuationSeparator" w:id="0">
    <w:p w14:paraId="35270FC0" w14:textId="77777777" w:rsidR="00517282" w:rsidRDefault="00517282" w:rsidP="00C8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47C98BC5-8A5E-4968-84A3-FBA6A2494BF5}"/>
    <w:embedBold r:id="rId2" w:fontKey="{4CFBF165-29E0-4E66-AEF4-EAA66C5B7DEE}"/>
    <w:embedItalic r:id="rId3" w:fontKey="{44FA35B9-A7CB-4965-9B3C-0EFF47691374}"/>
  </w:font>
  <w:font w:name="PMingLiU">
    <w:altName w:val="新細明體"/>
    <w:panose1 w:val="02020500000000000000"/>
    <w:charset w:val="88"/>
    <w:family w:val="roman"/>
    <w:pitch w:val="variable"/>
    <w:sig w:usb0="A00002FF" w:usb1="28CFFCFA" w:usb2="00000016" w:usb3="00000000" w:csb0="00100001" w:csb1="00000000"/>
    <w:embedRegular r:id="rId4" w:subsetted="1" w:fontKey="{3948BFC7-9484-481D-B497-691C112D35CA}"/>
    <w:embedBold r:id="rId5" w:subsetted="1" w:fontKey="{4D3A7AB6-F910-4B11-BC0D-EE11C8754DE8}"/>
  </w:font>
  <w:font w:name="Aptos Display">
    <w:charset w:val="00"/>
    <w:family w:val="swiss"/>
    <w:pitch w:val="variable"/>
    <w:sig w:usb0="20000287" w:usb1="00000003" w:usb2="00000000" w:usb3="00000000" w:csb0="0000019F" w:csb1="00000000"/>
    <w:embedRegular r:id="rId6" w:fontKey="{74BF9337-34CD-415D-ADA7-7DC015ADFE5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8DF1B" w14:textId="77777777" w:rsidR="00517282" w:rsidRDefault="00517282" w:rsidP="00C83048">
      <w:pPr>
        <w:spacing w:after="0" w:line="240" w:lineRule="auto"/>
      </w:pPr>
      <w:r>
        <w:separator/>
      </w:r>
    </w:p>
  </w:footnote>
  <w:footnote w:type="continuationSeparator" w:id="0">
    <w:p w14:paraId="3410B383" w14:textId="77777777" w:rsidR="00517282" w:rsidRDefault="00517282" w:rsidP="00C83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D4A6A"/>
    <w:multiLevelType w:val="multilevel"/>
    <w:tmpl w:val="21D2D64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B9035C"/>
    <w:multiLevelType w:val="multilevel"/>
    <w:tmpl w:val="3772864A"/>
    <w:lvl w:ilvl="0">
      <w:start w:val="5"/>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65293694">
    <w:abstractNumId w:val="0"/>
  </w:num>
  <w:num w:numId="2" w16cid:durableId="204590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embedTrueType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B5"/>
    <w:rsid w:val="000955E0"/>
    <w:rsid w:val="00397D4D"/>
    <w:rsid w:val="00517282"/>
    <w:rsid w:val="00664BBE"/>
    <w:rsid w:val="00683CB5"/>
    <w:rsid w:val="007706F2"/>
    <w:rsid w:val="007A0F36"/>
    <w:rsid w:val="008A28AF"/>
    <w:rsid w:val="009C7C22"/>
    <w:rsid w:val="00B50149"/>
    <w:rsid w:val="00BA053F"/>
    <w:rsid w:val="00C83048"/>
    <w:rsid w:val="00D62220"/>
    <w:rsid w:val="00DF0B80"/>
    <w:rsid w:val="00E32129"/>
    <w:rsid w:val="00E84EAD"/>
    <w:rsid w:val="00EC47A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BFCB"/>
  <w15:docId w15:val="{BC88B404-13EE-45C6-9978-196249D2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EastAsia" w:hAnsi="Aptos" w:cs="Aptos"/>
        <w:sz w:val="24"/>
        <w:szCs w:val="24"/>
        <w:lang w:val="en-CA"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8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8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8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8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8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8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8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6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68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8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8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8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8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8DA"/>
    <w:rPr>
      <w:rFonts w:eastAsiaTheme="majorEastAsia" w:cstheme="majorBidi"/>
      <w:color w:val="272727" w:themeColor="text1" w:themeTint="D8"/>
    </w:rPr>
  </w:style>
  <w:style w:type="character" w:customStyle="1" w:styleId="TitleChar">
    <w:name w:val="Title Char"/>
    <w:basedOn w:val="DefaultParagraphFont"/>
    <w:link w:val="Title"/>
    <w:uiPriority w:val="10"/>
    <w:rsid w:val="008D6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D68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8DA"/>
    <w:pPr>
      <w:spacing w:before="160"/>
      <w:jc w:val="center"/>
    </w:pPr>
    <w:rPr>
      <w:i/>
      <w:iCs/>
      <w:color w:val="404040" w:themeColor="text1" w:themeTint="BF"/>
    </w:rPr>
  </w:style>
  <w:style w:type="character" w:customStyle="1" w:styleId="QuoteChar">
    <w:name w:val="Quote Char"/>
    <w:basedOn w:val="DefaultParagraphFont"/>
    <w:link w:val="Quote"/>
    <w:uiPriority w:val="29"/>
    <w:rsid w:val="008D68DA"/>
    <w:rPr>
      <w:i/>
      <w:iCs/>
      <w:color w:val="404040" w:themeColor="text1" w:themeTint="BF"/>
    </w:rPr>
  </w:style>
  <w:style w:type="paragraph" w:styleId="ListParagraph">
    <w:name w:val="List Paragraph"/>
    <w:basedOn w:val="Normal"/>
    <w:uiPriority w:val="34"/>
    <w:qFormat/>
    <w:rsid w:val="008D68DA"/>
    <w:pPr>
      <w:ind w:left="720"/>
      <w:contextualSpacing/>
    </w:pPr>
  </w:style>
  <w:style w:type="character" w:styleId="IntenseEmphasis">
    <w:name w:val="Intense Emphasis"/>
    <w:basedOn w:val="DefaultParagraphFont"/>
    <w:uiPriority w:val="21"/>
    <w:qFormat/>
    <w:rsid w:val="008D68DA"/>
    <w:rPr>
      <w:i/>
      <w:iCs/>
      <w:color w:val="0F4761" w:themeColor="accent1" w:themeShade="BF"/>
    </w:rPr>
  </w:style>
  <w:style w:type="paragraph" w:styleId="IntenseQuote">
    <w:name w:val="Intense Quote"/>
    <w:basedOn w:val="Normal"/>
    <w:next w:val="Normal"/>
    <w:link w:val="IntenseQuoteChar"/>
    <w:uiPriority w:val="30"/>
    <w:qFormat/>
    <w:rsid w:val="008D6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8DA"/>
    <w:rPr>
      <w:i/>
      <w:iCs/>
      <w:color w:val="0F4761" w:themeColor="accent1" w:themeShade="BF"/>
    </w:rPr>
  </w:style>
  <w:style w:type="character" w:styleId="IntenseReference">
    <w:name w:val="Intense Reference"/>
    <w:basedOn w:val="DefaultParagraphFont"/>
    <w:uiPriority w:val="32"/>
    <w:qFormat/>
    <w:rsid w:val="008D68DA"/>
    <w:rPr>
      <w:b/>
      <w:bCs/>
      <w:smallCaps/>
      <w:color w:val="0F4761" w:themeColor="accent1" w:themeShade="BF"/>
      <w:spacing w:val="5"/>
    </w:rPr>
  </w:style>
  <w:style w:type="paragraph" w:styleId="Header">
    <w:name w:val="header"/>
    <w:basedOn w:val="Normal"/>
    <w:link w:val="HeaderChar"/>
    <w:uiPriority w:val="99"/>
    <w:unhideWhenUsed/>
    <w:rsid w:val="00056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3F"/>
  </w:style>
  <w:style w:type="paragraph" w:styleId="Footer">
    <w:name w:val="footer"/>
    <w:basedOn w:val="Normal"/>
    <w:link w:val="FooterChar"/>
    <w:uiPriority w:val="99"/>
    <w:unhideWhenUsed/>
    <w:rsid w:val="00056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3F"/>
  </w:style>
  <w:style w:type="paragraph" w:styleId="NoSpacing">
    <w:name w:val="No Spacing"/>
    <w:uiPriority w:val="1"/>
    <w:qFormat/>
    <w:rsid w:val="00056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522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quEaimZaJn/TjUaHWsJh56FEAw==">CgMxLjA4AHIhMWlncHQyYktrZmF0REZRcVlpSmlnX0pBaHJXa0RDc1hz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Kit Law</dc:creator>
  <cp:lastModifiedBy>Eric Tom</cp:lastModifiedBy>
  <cp:revision>2</cp:revision>
  <dcterms:created xsi:type="dcterms:W3CDTF">2024-10-01T00:02:00Z</dcterms:created>
  <dcterms:modified xsi:type="dcterms:W3CDTF">2024-10-01T00:02:00Z</dcterms:modified>
</cp:coreProperties>
</file>